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625"/>
        <w:tblW w:w="13038" w:type="dxa"/>
        <w:tblLayout w:type="fixed"/>
        <w:tblLook w:val="04A0" w:firstRow="1" w:lastRow="0" w:firstColumn="1" w:lastColumn="0" w:noHBand="0" w:noVBand="1"/>
      </w:tblPr>
      <w:tblGrid>
        <w:gridCol w:w="4346"/>
        <w:gridCol w:w="4346"/>
        <w:gridCol w:w="4346"/>
      </w:tblGrid>
      <w:tr w:rsidR="006E658B" w:rsidRPr="006E658B" w14:paraId="5E4CC5D3" w14:textId="77777777" w:rsidTr="006E658B">
        <w:trPr>
          <w:trHeight w:val="320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67253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bookmarkStart w:id="0" w:name="_GoBack"/>
            <w:bookmarkEnd w:id="0"/>
            <w:r w:rsidRPr="006E658B">
              <w:rPr>
                <w:rFonts w:ascii="Century Gothic" w:eastAsia="Times New Roman" w:hAnsi="Century Gothic" w:cs="Times New Roman"/>
                <w:color w:val="000000"/>
              </w:rPr>
              <w:t>Similarities of the Co-Teaching Models</w:t>
            </w:r>
          </w:p>
        </w:tc>
      </w:tr>
      <w:tr w:rsidR="006E658B" w:rsidRPr="006E658B" w14:paraId="46E8D748" w14:textId="77777777" w:rsidTr="006E658B">
        <w:trPr>
          <w:trHeight w:val="1180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0A2A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i/>
                <w:iCs/>
                <w:color w:val="000000"/>
              </w:rPr>
              <w:t>Co-teaching is two or more people sharing responsibility for teaching all of the students assigned to a classroom. It involves the distribution of responsibility among people for planning, differentiating instruction, and monitoring progress for a classroom of students.</w:t>
            </w:r>
          </w:p>
        </w:tc>
      </w:tr>
      <w:tr w:rsidR="006E658B" w:rsidRPr="006E658B" w14:paraId="0BD280C3" w14:textId="77777777" w:rsidTr="006E658B">
        <w:trPr>
          <w:trHeight w:val="320"/>
        </w:trPr>
        <w:tc>
          <w:tcPr>
            <w:tcW w:w="1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7BFD1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Supportive Differences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6ACE2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Parallel Differences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352F7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Alternative Differences</w:t>
            </w:r>
          </w:p>
        </w:tc>
      </w:tr>
      <w:tr w:rsidR="006E658B" w:rsidRPr="006E658B" w14:paraId="0A8711C2" w14:textId="77777777" w:rsidTr="006E658B">
        <w:trPr>
          <w:trHeight w:val="2875"/>
        </w:trPr>
        <w:tc>
          <w:tcPr>
            <w:tcW w:w="1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0B4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 xml:space="preserve">One leads, One </w:t>
            </w:r>
            <w:proofErr w:type="gramStart"/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>supports</w:t>
            </w:r>
            <w:proofErr w:type="gramEnd"/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br/>
              <w:t>One teacher takes primary responsibility for designing and delivering a lesson, while the other member of the co-teaching team provides support to some or all of the students in the classroom. This model can also be used for student/teacher observation with a purpose or specific reason.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A524" w14:textId="77777777" w:rsidR="006E658B" w:rsidRPr="006E658B" w:rsidRDefault="006E658B" w:rsidP="001D1ADF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 xml:space="preserve">Two </w:t>
            </w:r>
            <w:r w:rsidR="001D1ADF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>at Once</w:t>
            </w: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br/>
              <w:t>The class is divided in half. The co-teachers instruct, monitor, or facilitate the same lesson to the two separate heterogeneous groups at the same time.</w:t>
            </w: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86B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>One Large, One Small</w:t>
            </w: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br/>
              <w:t>One co-teacher instructs the whole group, while the other takes a small group for intervention in the same room. This helps to monitor and facilitate varied groups.</w:t>
            </w:r>
          </w:p>
        </w:tc>
      </w:tr>
      <w:tr w:rsidR="006E658B" w:rsidRPr="006E658B" w14:paraId="41FEAC2C" w14:textId="77777777" w:rsidTr="006E658B">
        <w:trPr>
          <w:trHeight w:val="320"/>
        </w:trPr>
        <w:tc>
          <w:tcPr>
            <w:tcW w:w="1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0EDB4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Supportive Advantages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C155D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Parallel Advantages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C7E1C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Alternative Advantages</w:t>
            </w:r>
          </w:p>
        </w:tc>
      </w:tr>
      <w:tr w:rsidR="006E658B" w:rsidRPr="006E658B" w14:paraId="397CA1DF" w14:textId="77777777" w:rsidTr="006E658B">
        <w:trPr>
          <w:trHeight w:val="640"/>
        </w:trPr>
        <w:tc>
          <w:tcPr>
            <w:tcW w:w="1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012" w14:textId="77777777" w:rsidR="006E658B" w:rsidRPr="006E658B" w:rsidRDefault="006E658B" w:rsidP="006E658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Supportive teacher can take notes to help plan future modifications or take formative data</w:t>
            </w:r>
          </w:p>
          <w:p w14:paraId="7E49C571" w14:textId="77777777" w:rsidR="006E658B" w:rsidRPr="006E658B" w:rsidRDefault="006E658B" w:rsidP="006E658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Available to redirect students</w:t>
            </w:r>
          </w:p>
          <w:p w14:paraId="6F287742" w14:textId="77777777" w:rsidR="006E658B" w:rsidRPr="006E658B" w:rsidRDefault="006E658B" w:rsidP="006E658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Can answer individual students’ questions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EE0" w14:textId="77777777" w:rsidR="006E658B" w:rsidRDefault="006E658B" w:rsidP="006E658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Can 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reduce teacher to student ratio allowing for indivi</w:t>
            </w:r>
            <w:r w:rsid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dualization and differentiation</w:t>
            </w:r>
          </w:p>
          <w:p w14:paraId="47D179FA" w14:textId="77777777" w:rsidR="006E658B" w:rsidRPr="006E658B" w:rsidRDefault="006E658B" w:rsidP="006E658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Allows for establishment of positive student/teacher relationships in a small group setting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660" w14:textId="77777777" w:rsidR="006E658B" w:rsidRDefault="00381240" w:rsidP="003812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Allows for specific skill instruction for </w:t>
            </w:r>
            <w:r w:rsid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students 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needing extra support.</w:t>
            </w:r>
          </w:p>
          <w:p w14:paraId="42CFD073" w14:textId="77777777" w:rsidR="00381240" w:rsidRPr="006E658B" w:rsidRDefault="00381240" w:rsidP="0038124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Leading teacher can enrich students meeting standard. </w:t>
            </w:r>
          </w:p>
        </w:tc>
      </w:tr>
      <w:tr w:rsidR="006E658B" w:rsidRPr="006E658B" w14:paraId="3D12E61D" w14:textId="77777777" w:rsidTr="006E658B">
        <w:trPr>
          <w:trHeight w:val="320"/>
        </w:trPr>
        <w:tc>
          <w:tcPr>
            <w:tcW w:w="1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AB688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Supportive Cautions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98D66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Parallel Cautions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23DA0" w14:textId="77777777" w:rsidR="006E658B" w:rsidRPr="006E658B" w:rsidRDefault="006E658B" w:rsidP="006E658B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Alternative Cautions</w:t>
            </w:r>
          </w:p>
        </w:tc>
      </w:tr>
      <w:tr w:rsidR="006E658B" w:rsidRPr="006E658B" w14:paraId="739E5413" w14:textId="77777777" w:rsidTr="00381240">
        <w:trPr>
          <w:trHeight w:val="2020"/>
        </w:trPr>
        <w:tc>
          <w:tcPr>
            <w:tcW w:w="1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8D9" w14:textId="77777777" w:rsidR="006E658B" w:rsidRP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Unequal distribution of planning responsibilities</w:t>
            </w:r>
          </w:p>
          <w:p w14:paraId="7BE45D27" w14:textId="77777777" w:rsidR="00381240" w:rsidRP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Individual students may become dependent to one on one support</w:t>
            </w:r>
          </w:p>
          <w:p w14:paraId="02D69696" w14:textId="77777777" w:rsidR="00381240" w:rsidRP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Endless drifting around the classroom 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DE1" w14:textId="77777777" w:rsidR="006E658B" w:rsidRP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Noise Levels</w:t>
            </w:r>
          </w:p>
          <w:p w14:paraId="3EC4B315" w14:textId="77777777" w:rsidR="00381240" w:rsidRP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Individual teacher accountability</w:t>
            </w:r>
          </w:p>
          <w:p w14:paraId="1B16FE3A" w14:textId="77777777" w:rsidR="00381240" w:rsidRP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Inflexible grouping arrangements may result in lowered achievement or for students to become stigmatized</w:t>
            </w:r>
          </w:p>
        </w:tc>
        <w:tc>
          <w:tcPr>
            <w:tcW w:w="1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C97D" w14:textId="77777777" w:rsidR="006E658B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May ‘pigeonhole’ one teacher to always working with a specific set of students</w:t>
            </w:r>
          </w:p>
          <w:p w14:paraId="63F5B91E" w14:textId="77777777" w:rsid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Imbalance of responsibilities</w:t>
            </w:r>
          </w:p>
          <w:p w14:paraId="64CBA5A3" w14:textId="77777777" w:rsidR="00381240" w:rsidRPr="00381240" w:rsidRDefault="00381240" w:rsidP="00381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Students may become stigmatized</w:t>
            </w:r>
          </w:p>
        </w:tc>
      </w:tr>
    </w:tbl>
    <w:p w14:paraId="1C0C5264" w14:textId="77777777" w:rsidR="00CA0BDD" w:rsidRDefault="008C08AA"/>
    <w:tbl>
      <w:tblPr>
        <w:tblpPr w:leftFromText="180" w:rightFromText="180" w:vertAnchor="page" w:horzAnchor="page" w:tblpXSpec="center" w:tblpY="1625"/>
        <w:tblW w:w="13038" w:type="dxa"/>
        <w:tblLayout w:type="fixed"/>
        <w:tblLook w:val="04A0" w:firstRow="1" w:lastRow="0" w:firstColumn="1" w:lastColumn="0" w:noHBand="0" w:noVBand="1"/>
      </w:tblPr>
      <w:tblGrid>
        <w:gridCol w:w="4346"/>
        <w:gridCol w:w="4346"/>
        <w:gridCol w:w="4346"/>
      </w:tblGrid>
      <w:tr w:rsidR="00381240" w:rsidRPr="006E658B" w14:paraId="61166FB5" w14:textId="77777777" w:rsidTr="001D1ADF">
        <w:trPr>
          <w:trHeight w:val="320"/>
        </w:trPr>
        <w:tc>
          <w:tcPr>
            <w:tcW w:w="1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198FA" w14:textId="77777777" w:rsidR="00381240" w:rsidRPr="006E658B" w:rsidRDefault="00381240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</w:rPr>
              <w:t>Similarities of the Co-Teaching Models</w:t>
            </w:r>
          </w:p>
        </w:tc>
      </w:tr>
      <w:tr w:rsidR="00381240" w:rsidRPr="006E658B" w14:paraId="04E9E0FA" w14:textId="77777777" w:rsidTr="001D1ADF">
        <w:trPr>
          <w:trHeight w:val="1180"/>
        </w:trPr>
        <w:tc>
          <w:tcPr>
            <w:tcW w:w="1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822" w14:textId="77777777" w:rsidR="00381240" w:rsidRPr="006E658B" w:rsidRDefault="00381240" w:rsidP="001F7043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</w:rPr>
            </w:pPr>
            <w:r w:rsidRPr="006E658B">
              <w:rPr>
                <w:rFonts w:ascii="Century Gothic" w:eastAsia="Times New Roman" w:hAnsi="Century Gothic" w:cs="Times New Roman"/>
                <w:i/>
                <w:iCs/>
                <w:color w:val="000000"/>
              </w:rPr>
              <w:lastRenderedPageBreak/>
              <w:t>Co-teaching is two or more people sharing responsibility for teaching all of the students assigned to a classroom. It involves the distribution of responsibility among people for planning, differentiating instruction, and monitoring progress for a classroom of students.</w:t>
            </w:r>
          </w:p>
        </w:tc>
      </w:tr>
      <w:tr w:rsidR="001D1ADF" w:rsidRPr="006E658B" w14:paraId="07DEBD52" w14:textId="77777777" w:rsidTr="001D1ADF">
        <w:trPr>
          <w:trHeight w:val="32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89B62" w14:textId="77777777" w:rsidR="001D1ADF" w:rsidRDefault="001D1ADF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Team Differences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DB9CC" w14:textId="77777777" w:rsidR="001D1ADF" w:rsidRDefault="001D1ADF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Complementary Differences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D8D9D" w14:textId="77777777" w:rsidR="001D1ADF" w:rsidRDefault="001D1ADF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>
              <w:rPr>
                <w:rFonts w:ascii="Century Gothic" w:eastAsia="Times New Roman" w:hAnsi="Century Gothic"/>
                <w:color w:val="000000"/>
              </w:rPr>
              <w:t>Stationary Differences</w:t>
            </w:r>
          </w:p>
        </w:tc>
      </w:tr>
      <w:tr w:rsidR="00381240" w:rsidRPr="006E658B" w14:paraId="5AA28820" w14:textId="77777777" w:rsidTr="006F3883">
        <w:trPr>
          <w:trHeight w:val="2416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AE1" w14:textId="77777777" w:rsidR="00381240" w:rsidRDefault="001D1ADF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>Two is Better than One</w:t>
            </w:r>
            <w:r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</w:p>
          <w:p w14:paraId="496F6408" w14:textId="77777777" w:rsidR="004F5393" w:rsidRPr="006E658B" w:rsidRDefault="004F5393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Two teachers </w:t>
            </w:r>
            <w:r w:rsidR="00841801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share the responsibility of one at the same time. Both are present for the entire lesson, anticipate each other, </w:t>
            </w:r>
            <w:r w:rsidR="00124A37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and share ownership of instruction. Both teach simultaneously in area of expertise.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6CE2" w14:textId="77777777" w:rsidR="00381240" w:rsidRPr="006E658B" w:rsidRDefault="001D1ADF" w:rsidP="00124A3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>One Leads, One Models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br/>
            </w:r>
            <w:r w:rsidR="00124A37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One teacher enhances/augments the instruction provided by the other co-teacher. This may take the form of modeling, asking questions for deeper understanding, scribing, etc., to allow students to access content more easily.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C1D" w14:textId="77777777" w:rsidR="00381240" w:rsidRPr="006E658B" w:rsidRDefault="001D1ADF" w:rsidP="006F388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  <w:u w:val="single"/>
              </w:rPr>
              <w:t>Divide and Conquer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br/>
            </w:r>
            <w:r w:rsidR="006F3883"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The class is divided in </w:t>
            </w:r>
            <w:r w:rsidR="006F3883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two or more groups</w:t>
            </w:r>
            <w:r w:rsidR="006F3883"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. The co-teachers instruct, monitor, or facilitate </w:t>
            </w:r>
            <w:r w:rsidR="006F3883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different</w:t>
            </w:r>
            <w:r w:rsidR="006F3883"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lesson</w:t>
            </w:r>
            <w:r w:rsidR="006F3883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s/concepts to</w:t>
            </w:r>
            <w:r w:rsidR="006F3883"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two separate groups at the same time.</w:t>
            </w:r>
            <w:r w:rsidR="006F3883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There may be a third or fourth group with no monitoring.</w:t>
            </w:r>
            <w:r w:rsidR="006F3883" w:rsidRPr="006E658B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br/>
            </w:r>
          </w:p>
        </w:tc>
      </w:tr>
      <w:tr w:rsidR="00381240" w:rsidRPr="006E658B" w14:paraId="56E943EB" w14:textId="77777777" w:rsidTr="001D1ADF">
        <w:trPr>
          <w:trHeight w:val="32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D182E" w14:textId="77777777" w:rsidR="00381240" w:rsidRPr="006E658B" w:rsidRDefault="001D1ADF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Team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</w:rPr>
              <w:t xml:space="preserve"> Advantages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56D69" w14:textId="77777777" w:rsidR="00381240" w:rsidRPr="006E658B" w:rsidRDefault="001D1ADF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Complementary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</w:rPr>
              <w:t xml:space="preserve"> Advantages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320AC" w14:textId="77777777" w:rsidR="00381240" w:rsidRPr="006E658B" w:rsidRDefault="001D1ADF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Stationary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</w:rPr>
              <w:t xml:space="preserve"> Advantages</w:t>
            </w:r>
          </w:p>
        </w:tc>
      </w:tr>
      <w:tr w:rsidR="00381240" w:rsidRPr="006E658B" w14:paraId="06D42EF3" w14:textId="77777777" w:rsidTr="001D1ADF">
        <w:trPr>
          <w:trHeight w:val="64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B9E" w14:textId="77777777" w:rsidR="00381240" w:rsidRDefault="00124A37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Equal involvement in planning</w:t>
            </w:r>
          </w:p>
          <w:p w14:paraId="11962FCC" w14:textId="77777777" w:rsidR="00124A37" w:rsidRDefault="00124A37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Teachers trade support and lead roles various times within the lesson</w:t>
            </w:r>
          </w:p>
          <w:p w14:paraId="49B45EF4" w14:textId="77777777" w:rsidR="00124A37" w:rsidRDefault="00124A37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Can model healthy peer/ professional relationships</w:t>
            </w:r>
          </w:p>
          <w:p w14:paraId="27AB992C" w14:textId="77777777" w:rsidR="00124A37" w:rsidRPr="006E658B" w:rsidRDefault="00124A37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Allows for varied pedagogical styles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015A" w14:textId="77777777" w:rsidR="00381240" w:rsidRDefault="00124A37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Pooled expertise</w:t>
            </w:r>
          </w:p>
          <w:p w14:paraId="4FE0C7C4" w14:textId="77777777" w:rsidR="00124A37" w:rsidRDefault="00124A37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Brainstorming and Problem Solving can happen during instructional delivery</w:t>
            </w:r>
          </w:p>
          <w:p w14:paraId="7D5C7D98" w14:textId="77777777" w:rsidR="002E1874" w:rsidRPr="002E1874" w:rsidRDefault="00124A37" w:rsidP="002E187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Shared responsibilities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6CA" w14:textId="77777777" w:rsidR="00381240" w:rsidRDefault="00381240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Allows for specific skill instruction</w:t>
            </w:r>
            <w:r w:rsidR="006F3883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in a smaller group setting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.</w:t>
            </w:r>
          </w:p>
          <w:p w14:paraId="4081C5EA" w14:textId="77777777" w:rsidR="00381240" w:rsidRDefault="006F3883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Teachers may rotate groups within same time frame so each group gets the same instruction</w:t>
            </w:r>
            <w:r w:rsid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. </w:t>
            </w:r>
          </w:p>
          <w:p w14:paraId="4D927660" w14:textId="77777777" w:rsidR="006F3883" w:rsidRPr="006E658B" w:rsidRDefault="006F3883" w:rsidP="001F704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Allows for establishment of positive student/teacher relationships in a small group setting</w:t>
            </w:r>
          </w:p>
        </w:tc>
      </w:tr>
      <w:tr w:rsidR="00381240" w:rsidRPr="006E658B" w14:paraId="6240E4BA" w14:textId="77777777" w:rsidTr="001D1ADF">
        <w:trPr>
          <w:trHeight w:val="32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9CD3D" w14:textId="77777777" w:rsidR="00381240" w:rsidRPr="006E658B" w:rsidRDefault="001D1ADF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Team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</w:rPr>
              <w:t xml:space="preserve"> Cautions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3500A" w14:textId="77777777" w:rsidR="00381240" w:rsidRPr="006E658B" w:rsidRDefault="001D1ADF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Complementary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</w:rPr>
              <w:t xml:space="preserve"> Cautions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24FEC" w14:textId="77777777" w:rsidR="00381240" w:rsidRPr="006E658B" w:rsidRDefault="001D1ADF" w:rsidP="001F7043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Stationary</w:t>
            </w:r>
            <w:r w:rsidR="00381240" w:rsidRPr="006E658B">
              <w:rPr>
                <w:rFonts w:ascii="Century Gothic" w:eastAsia="Times New Roman" w:hAnsi="Century Gothic" w:cs="Times New Roman"/>
                <w:color w:val="000000"/>
              </w:rPr>
              <w:t xml:space="preserve"> Cautions</w:t>
            </w:r>
          </w:p>
        </w:tc>
      </w:tr>
      <w:tr w:rsidR="00381240" w:rsidRPr="006E658B" w14:paraId="143F2091" w14:textId="77777777" w:rsidTr="001D1ADF">
        <w:trPr>
          <w:trHeight w:val="202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A529" w14:textId="77777777" w:rsidR="00381240" w:rsidRDefault="00124A37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Teacher talk</w:t>
            </w:r>
            <w:r w:rsidR="00381240"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may become excessive</w:t>
            </w:r>
          </w:p>
          <w:p w14:paraId="3133FDD2" w14:textId="77777777" w:rsidR="00124A37" w:rsidRDefault="00124A37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Unless teachers have a trusting relationship, conflict may occur</w:t>
            </w:r>
          </w:p>
          <w:p w14:paraId="329D38BB" w14:textId="77777777" w:rsidR="00124A37" w:rsidRPr="00381240" w:rsidRDefault="00124A37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Reduced student participation/input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36CC" w14:textId="77777777" w:rsidR="00381240" w:rsidRPr="00381240" w:rsidRDefault="002E1874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Reduced student input</w:t>
            </w:r>
          </w:p>
          <w:p w14:paraId="21C11A49" w14:textId="77777777" w:rsidR="002E1874" w:rsidRDefault="002E1874" w:rsidP="002E187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Teacher talk</w:t>
            </w:r>
            <w:r w:rsidRP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may become excessive</w:t>
            </w:r>
          </w:p>
          <w:p w14:paraId="081A24C3" w14:textId="77777777" w:rsidR="00381240" w:rsidRDefault="002E1874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Too much adaptation when following curriculum to fidelity</w:t>
            </w:r>
          </w:p>
          <w:p w14:paraId="6E00EFD4" w14:textId="77777777" w:rsidR="002E1874" w:rsidRDefault="002E1874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Inflexibility in sharing roles</w:t>
            </w:r>
          </w:p>
          <w:p w14:paraId="34FD918D" w14:textId="77777777" w:rsidR="002E1874" w:rsidRPr="00381240" w:rsidRDefault="002E1874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Personalities/Beliefs may conflict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9AC" w14:textId="77777777" w:rsidR="00381240" w:rsidRDefault="006F3883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If not grouped heterogeneously, s</w:t>
            </w:r>
            <w:r w:rsidR="00381240"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tudents may become stigmatized</w:t>
            </w:r>
          </w:p>
          <w:p w14:paraId="7DA55850" w14:textId="77777777" w:rsidR="006F3883" w:rsidRDefault="00A406DF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May leave a group of students with no supervision</w:t>
            </w:r>
          </w:p>
          <w:p w14:paraId="4B39E694" w14:textId="77777777" w:rsidR="00A406DF" w:rsidRDefault="00A406DF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Excessive noise</w:t>
            </w:r>
          </w:p>
          <w:p w14:paraId="074F9CCD" w14:textId="77777777" w:rsidR="00A406DF" w:rsidRPr="00381240" w:rsidRDefault="00A406DF" w:rsidP="001F704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  <w:t>Temptation to plan separately</w:t>
            </w:r>
          </w:p>
        </w:tc>
      </w:tr>
    </w:tbl>
    <w:p w14:paraId="54D12813" w14:textId="77777777" w:rsidR="008960F1" w:rsidRDefault="008960F1"/>
    <w:sectPr w:rsidR="008960F1" w:rsidSect="00381240">
      <w:headerReference w:type="default" r:id="rId8"/>
      <w:footerReference w:type="default" r:id="rId9"/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30F2" w14:textId="77777777" w:rsidR="00433C7D" w:rsidRDefault="00433C7D" w:rsidP="006E658B">
      <w:r>
        <w:separator/>
      </w:r>
    </w:p>
  </w:endnote>
  <w:endnote w:type="continuationSeparator" w:id="0">
    <w:p w14:paraId="7230AD4A" w14:textId="77777777" w:rsidR="00433C7D" w:rsidRDefault="00433C7D" w:rsidP="006E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D7A2" w14:textId="77777777" w:rsidR="008F2E83" w:rsidRDefault="001D1ADF">
    <w:pPr>
      <w:pStyle w:val="Footer"/>
    </w:pPr>
    <w:r>
      <w:t xml:space="preserve">Adapted from Villa, Thousand, &amp; </w:t>
    </w:r>
    <w:proofErr w:type="spellStart"/>
    <w:r>
      <w:t>Nevin</w:t>
    </w:r>
    <w:proofErr w:type="spellEnd"/>
    <w:r>
      <w:t xml:space="preserve"> (2013) A Guide to Co-Teaching: New Lessons and Strategies to Facilitate Student Learning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6AA1" w14:textId="77777777" w:rsidR="00433C7D" w:rsidRDefault="00433C7D" w:rsidP="006E658B">
      <w:r>
        <w:separator/>
      </w:r>
    </w:p>
  </w:footnote>
  <w:footnote w:type="continuationSeparator" w:id="0">
    <w:p w14:paraId="6789AF45" w14:textId="77777777" w:rsidR="00433C7D" w:rsidRDefault="00433C7D" w:rsidP="006E65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18052" w14:textId="77777777" w:rsidR="006E658B" w:rsidRDefault="006E658B" w:rsidP="006E658B">
    <w:pPr>
      <w:pStyle w:val="Header"/>
    </w:pPr>
  </w:p>
  <w:p w14:paraId="37D4A8E0" w14:textId="77777777" w:rsidR="006E658B" w:rsidRPr="006E658B" w:rsidRDefault="006E658B" w:rsidP="006E658B">
    <w:pPr>
      <w:pStyle w:val="Header"/>
      <w:jc w:val="center"/>
      <w:rPr>
        <w:rFonts w:ascii="Century Gothic" w:hAnsi="Century Gothic"/>
        <w:sz w:val="32"/>
        <w:szCs w:val="32"/>
      </w:rPr>
    </w:pPr>
    <w:r w:rsidRPr="006E658B">
      <w:rPr>
        <w:rFonts w:ascii="Century Gothic" w:hAnsi="Century Gothic"/>
        <w:sz w:val="32"/>
        <w:szCs w:val="32"/>
      </w:rPr>
      <w:t>Similarities, Advantages, &amp; Differences, and Cautions of the Co-Teaching Models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1C7"/>
    <w:multiLevelType w:val="hybridMultilevel"/>
    <w:tmpl w:val="72C20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5F67"/>
    <w:multiLevelType w:val="hybridMultilevel"/>
    <w:tmpl w:val="0D6A150C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8B"/>
    <w:rsid w:val="00124A37"/>
    <w:rsid w:val="001D1ADF"/>
    <w:rsid w:val="002E1874"/>
    <w:rsid w:val="00381240"/>
    <w:rsid w:val="00433C7D"/>
    <w:rsid w:val="004F5393"/>
    <w:rsid w:val="00546D20"/>
    <w:rsid w:val="006253E3"/>
    <w:rsid w:val="006E658B"/>
    <w:rsid w:val="006F3883"/>
    <w:rsid w:val="00711896"/>
    <w:rsid w:val="00841801"/>
    <w:rsid w:val="0085756C"/>
    <w:rsid w:val="008920C3"/>
    <w:rsid w:val="008960F1"/>
    <w:rsid w:val="008C08AA"/>
    <w:rsid w:val="008F2E83"/>
    <w:rsid w:val="00A406DF"/>
    <w:rsid w:val="00B66ABE"/>
    <w:rsid w:val="00E8185C"/>
    <w:rsid w:val="00E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F1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58B"/>
  </w:style>
  <w:style w:type="paragraph" w:styleId="Footer">
    <w:name w:val="footer"/>
    <w:basedOn w:val="Normal"/>
    <w:link w:val="FooterChar"/>
    <w:uiPriority w:val="99"/>
    <w:unhideWhenUsed/>
    <w:rsid w:val="006E6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58B"/>
  </w:style>
  <w:style w:type="paragraph" w:customStyle="1" w:styleId="paragraph">
    <w:name w:val="paragraph"/>
    <w:basedOn w:val="Normal"/>
    <w:rsid w:val="008960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960F1"/>
  </w:style>
  <w:style w:type="character" w:customStyle="1" w:styleId="eop">
    <w:name w:val="eop"/>
    <w:basedOn w:val="DefaultParagraphFont"/>
    <w:rsid w:val="008960F1"/>
  </w:style>
  <w:style w:type="character" w:customStyle="1" w:styleId="apple-converted-space">
    <w:name w:val="apple-converted-space"/>
    <w:basedOn w:val="DefaultParagraphFont"/>
    <w:rsid w:val="00896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58B"/>
  </w:style>
  <w:style w:type="paragraph" w:styleId="Footer">
    <w:name w:val="footer"/>
    <w:basedOn w:val="Normal"/>
    <w:link w:val="FooterChar"/>
    <w:uiPriority w:val="99"/>
    <w:unhideWhenUsed/>
    <w:rsid w:val="006E6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58B"/>
  </w:style>
  <w:style w:type="paragraph" w:customStyle="1" w:styleId="paragraph">
    <w:name w:val="paragraph"/>
    <w:basedOn w:val="Normal"/>
    <w:rsid w:val="008960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960F1"/>
  </w:style>
  <w:style w:type="character" w:customStyle="1" w:styleId="eop">
    <w:name w:val="eop"/>
    <w:basedOn w:val="DefaultParagraphFont"/>
    <w:rsid w:val="008960F1"/>
  </w:style>
  <w:style w:type="character" w:customStyle="1" w:styleId="apple-converted-space">
    <w:name w:val="apple-converted-space"/>
    <w:basedOn w:val="DefaultParagraphFont"/>
    <w:rsid w:val="008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Rupert Elementary School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Alejandra</dc:creator>
  <cp:keywords/>
  <dc:description/>
  <cp:lastModifiedBy>Maria Garcia</cp:lastModifiedBy>
  <cp:revision>2</cp:revision>
  <dcterms:created xsi:type="dcterms:W3CDTF">2018-01-23T19:48:00Z</dcterms:created>
  <dcterms:modified xsi:type="dcterms:W3CDTF">2018-01-23T19:48:00Z</dcterms:modified>
</cp:coreProperties>
</file>